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3"/>
        <w:ind w:left="3323" w:right="3326"/>
        <w:jc w:val="center"/>
      </w:pPr>
      <w:r>
        <w:t>安全评估信息</w:t>
      </w:r>
    </w:p>
    <w:p>
      <w:pPr>
        <w:pStyle w:val="2"/>
        <w:rPr>
          <w:sz w:val="10"/>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137"/>
        <w:gridCol w:w="1279"/>
        <w:gridCol w:w="2052"/>
        <w:gridCol w:w="149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415" w:type="dxa"/>
            <w:vMerge w:val="restart"/>
            <w:shd w:val="clear" w:color="auto" w:fill="F1F1F1"/>
          </w:tcPr>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5"/>
              <w:rPr>
                <w:rFonts w:hint="eastAsia" w:ascii="微软雅黑" w:hAnsi="微软雅黑" w:eastAsia="微软雅黑" w:cs="微软雅黑"/>
                <w:sz w:val="20"/>
                <w:szCs w:val="20"/>
              </w:rPr>
            </w:pPr>
          </w:p>
          <w:p>
            <w:pPr>
              <w:pStyle w:val="7"/>
              <w:spacing w:line="292" w:lineRule="auto"/>
              <w:ind w:left="107" w:right="97"/>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主体信息</w:t>
            </w:r>
          </w:p>
        </w:tc>
        <w:tc>
          <w:tcPr>
            <w:tcW w:w="1137" w:type="dxa"/>
            <w:vMerge w:val="restart"/>
            <w:shd w:val="clear" w:color="auto" w:fill="F1F1F1"/>
          </w:tcPr>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12"/>
              <w:rPr>
                <w:rFonts w:hint="eastAsia" w:ascii="微软雅黑" w:hAnsi="微软雅黑" w:eastAsia="微软雅黑" w:cs="微软雅黑"/>
                <w:sz w:val="20"/>
                <w:szCs w:val="20"/>
              </w:rPr>
            </w:pPr>
          </w:p>
          <w:p>
            <w:pPr>
              <w:pStyle w:val="7"/>
              <w:ind w:left="367"/>
              <w:rPr>
                <w:rFonts w:hint="eastAsia" w:ascii="微软雅黑" w:hAnsi="微软雅黑" w:eastAsia="微软雅黑" w:cs="微软雅黑"/>
                <w:sz w:val="20"/>
                <w:szCs w:val="20"/>
              </w:rPr>
            </w:pPr>
            <w:r>
              <w:rPr>
                <w:rFonts w:hint="eastAsia" w:ascii="微软雅黑" w:hAnsi="微软雅黑" w:eastAsia="微软雅黑" w:cs="微软雅黑"/>
                <w:sz w:val="20"/>
                <w:szCs w:val="20"/>
              </w:rPr>
              <w:t>单位</w:t>
            </w:r>
          </w:p>
        </w:tc>
        <w:tc>
          <w:tcPr>
            <w:tcW w:w="1279" w:type="dxa"/>
          </w:tcPr>
          <w:p>
            <w:pPr>
              <w:pStyle w:val="7"/>
              <w:spacing w:before="80"/>
              <w:ind w:left="240"/>
              <w:rPr>
                <w:rFonts w:hint="eastAsia" w:ascii="微软雅黑" w:hAnsi="微软雅黑" w:eastAsia="微软雅黑" w:cs="微软雅黑"/>
                <w:sz w:val="20"/>
                <w:szCs w:val="20"/>
              </w:rPr>
            </w:pPr>
            <w:r>
              <w:rPr>
                <w:rFonts w:hint="eastAsia" w:ascii="微软雅黑" w:hAnsi="微软雅黑" w:eastAsia="微软雅黑" w:cs="微软雅黑"/>
                <w:sz w:val="20"/>
                <w:szCs w:val="20"/>
              </w:rPr>
              <w:t>单位名称</w:t>
            </w:r>
          </w:p>
        </w:tc>
        <w:tc>
          <w:tcPr>
            <w:tcW w:w="5532" w:type="dxa"/>
            <w:gridSpan w:val="3"/>
          </w:tcPr>
          <w:p>
            <w:pPr>
              <w:pStyle w:val="7"/>
              <w:spacing w:before="128"/>
              <w:ind w:left="68"/>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279" w:type="dxa"/>
          </w:tcPr>
          <w:p>
            <w:pPr>
              <w:pStyle w:val="7"/>
              <w:spacing w:before="80"/>
              <w:ind w:left="240"/>
              <w:rPr>
                <w:rFonts w:hint="eastAsia" w:ascii="微软雅黑" w:hAnsi="微软雅黑" w:eastAsia="微软雅黑" w:cs="微软雅黑"/>
                <w:sz w:val="20"/>
                <w:szCs w:val="20"/>
              </w:rPr>
            </w:pPr>
            <w:r>
              <w:rPr>
                <w:rFonts w:hint="eastAsia" w:ascii="微软雅黑" w:hAnsi="微软雅黑" w:eastAsia="微软雅黑" w:cs="微软雅黑"/>
                <w:sz w:val="20"/>
                <w:szCs w:val="20"/>
              </w:rPr>
              <w:t>机构代码</w:t>
            </w:r>
          </w:p>
        </w:tc>
        <w:tc>
          <w:tcPr>
            <w:tcW w:w="5532" w:type="dxa"/>
            <w:gridSpan w:val="3"/>
          </w:tcPr>
          <w:p>
            <w:pPr>
              <w:pStyle w:val="7"/>
              <w:spacing w:before="136"/>
              <w:ind w:left="59"/>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279" w:type="dxa"/>
          </w:tcPr>
          <w:p>
            <w:pPr>
              <w:pStyle w:val="7"/>
              <w:spacing w:before="80"/>
              <w:ind w:right="129"/>
              <w:jc w:val="right"/>
              <w:rPr>
                <w:rFonts w:hint="eastAsia" w:ascii="微软雅黑" w:hAnsi="微软雅黑" w:eastAsia="微软雅黑" w:cs="微软雅黑"/>
                <w:sz w:val="20"/>
                <w:szCs w:val="20"/>
              </w:rPr>
            </w:pPr>
            <w:r>
              <w:rPr>
                <w:rFonts w:hint="eastAsia" w:ascii="微软雅黑" w:hAnsi="微软雅黑" w:eastAsia="微软雅黑" w:cs="微软雅黑"/>
                <w:w w:val="95"/>
                <w:sz w:val="20"/>
                <w:szCs w:val="20"/>
              </w:rPr>
              <w:t>单位注册地</w:t>
            </w:r>
          </w:p>
        </w:tc>
        <w:tc>
          <w:tcPr>
            <w:tcW w:w="5532" w:type="dxa"/>
            <w:gridSpan w:val="3"/>
          </w:tcPr>
          <w:p>
            <w:pPr>
              <w:pStyle w:val="7"/>
              <w:spacing w:before="128"/>
              <w:ind w:left="59"/>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279" w:type="dxa"/>
          </w:tcPr>
          <w:p>
            <w:pPr>
              <w:pStyle w:val="7"/>
              <w:spacing w:before="80"/>
              <w:ind w:right="129"/>
              <w:jc w:val="right"/>
              <w:rPr>
                <w:rFonts w:hint="eastAsia" w:ascii="微软雅黑" w:hAnsi="微软雅黑" w:eastAsia="微软雅黑" w:cs="微软雅黑"/>
                <w:sz w:val="20"/>
                <w:szCs w:val="20"/>
              </w:rPr>
            </w:pPr>
            <w:r>
              <w:rPr>
                <w:rFonts w:hint="eastAsia" w:ascii="微软雅黑" w:hAnsi="微软雅黑" w:eastAsia="微软雅黑" w:cs="微软雅黑"/>
                <w:w w:val="95"/>
                <w:sz w:val="20"/>
                <w:szCs w:val="20"/>
              </w:rPr>
              <w:t>联系人姓名</w:t>
            </w:r>
          </w:p>
        </w:tc>
        <w:tc>
          <w:tcPr>
            <w:tcW w:w="2052" w:type="dxa"/>
          </w:tcPr>
          <w:p>
            <w:pPr>
              <w:pStyle w:val="7"/>
              <w:spacing w:line="166" w:lineRule="exact"/>
              <w:ind w:left="59"/>
              <w:rPr>
                <w:rFonts w:hint="eastAsia" w:ascii="微软雅黑" w:hAnsi="微软雅黑" w:eastAsia="微软雅黑" w:cs="微软雅黑"/>
                <w:sz w:val="20"/>
                <w:szCs w:val="20"/>
              </w:rPr>
            </w:pPr>
          </w:p>
        </w:tc>
        <w:tc>
          <w:tcPr>
            <w:tcW w:w="1495" w:type="dxa"/>
          </w:tcPr>
          <w:p>
            <w:pPr>
              <w:pStyle w:val="7"/>
              <w:spacing w:before="80"/>
              <w:ind w:left="349"/>
              <w:rPr>
                <w:rFonts w:hint="eastAsia" w:ascii="微软雅黑" w:hAnsi="微软雅黑" w:eastAsia="微软雅黑" w:cs="微软雅黑"/>
                <w:sz w:val="20"/>
                <w:szCs w:val="20"/>
              </w:rPr>
            </w:pPr>
            <w:r>
              <w:rPr>
                <w:rFonts w:hint="eastAsia" w:ascii="微软雅黑" w:hAnsi="微软雅黑" w:eastAsia="微软雅黑" w:cs="微软雅黑"/>
                <w:sz w:val="20"/>
                <w:szCs w:val="20"/>
              </w:rPr>
              <w:t>联系电话</w:t>
            </w:r>
          </w:p>
        </w:tc>
        <w:tc>
          <w:tcPr>
            <w:tcW w:w="1985" w:type="dxa"/>
          </w:tcPr>
          <w:p>
            <w:pPr>
              <w:pStyle w:val="7"/>
              <w:spacing w:before="138"/>
              <w:ind w:left="62"/>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279" w:type="dxa"/>
          </w:tcPr>
          <w:p>
            <w:pPr>
              <w:pStyle w:val="7"/>
              <w:spacing w:before="25"/>
              <w:ind w:left="118" w:right="11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运营团队名</w:t>
            </w:r>
          </w:p>
          <w:p>
            <w:pPr>
              <w:pStyle w:val="7"/>
              <w:spacing w:before="56"/>
              <w:ind w:left="11"/>
              <w:jc w:val="center"/>
              <w:rPr>
                <w:rFonts w:hint="eastAsia" w:ascii="微软雅黑" w:hAnsi="微软雅黑" w:eastAsia="微软雅黑" w:cs="微软雅黑"/>
                <w:sz w:val="20"/>
                <w:szCs w:val="20"/>
              </w:rPr>
            </w:pPr>
            <w:r>
              <w:rPr>
                <w:rFonts w:hint="eastAsia" w:ascii="微软雅黑" w:hAnsi="微软雅黑" w:eastAsia="微软雅黑" w:cs="微软雅黑"/>
                <w:w w:val="99"/>
                <w:sz w:val="20"/>
                <w:szCs w:val="20"/>
              </w:rPr>
              <w:t>称</w:t>
            </w:r>
          </w:p>
        </w:tc>
        <w:tc>
          <w:tcPr>
            <w:tcW w:w="5532" w:type="dxa"/>
            <w:gridSpan w:val="3"/>
          </w:tcPr>
          <w:p>
            <w:pPr>
              <w:pStyle w:val="7"/>
              <w:spacing w:before="17"/>
              <w:ind w:left="64"/>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279" w:type="dxa"/>
          </w:tcPr>
          <w:p>
            <w:pPr>
              <w:pStyle w:val="7"/>
              <w:spacing w:before="25"/>
              <w:ind w:left="118" w:right="11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运营团队所</w:t>
            </w:r>
          </w:p>
          <w:p>
            <w:pPr>
              <w:pStyle w:val="7"/>
              <w:spacing w:before="56"/>
              <w:ind w:left="118" w:right="11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在地</w:t>
            </w:r>
          </w:p>
        </w:tc>
        <w:tc>
          <w:tcPr>
            <w:tcW w:w="5532" w:type="dxa"/>
            <w:gridSpan w:val="3"/>
          </w:tcPr>
          <w:p>
            <w:pPr>
              <w:pStyle w:val="7"/>
              <w:spacing w:before="2"/>
              <w:rPr>
                <w:rFonts w:hint="eastAsia" w:ascii="微软雅黑" w:hAnsi="微软雅黑" w:eastAsia="微软雅黑" w:cs="微软雅黑"/>
                <w:sz w:val="20"/>
                <w:szCs w:val="20"/>
              </w:rPr>
            </w:pPr>
          </w:p>
          <w:p>
            <w:pPr>
              <w:pStyle w:val="7"/>
              <w:ind w:left="64"/>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415" w:type="dxa"/>
            <w:vMerge w:val="restart"/>
            <w:shd w:val="clear" w:color="auto" w:fill="F1F1F1"/>
          </w:tcPr>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9"/>
              <w:rPr>
                <w:rFonts w:hint="eastAsia" w:ascii="微软雅黑" w:hAnsi="微软雅黑" w:eastAsia="微软雅黑" w:cs="微软雅黑"/>
                <w:sz w:val="20"/>
                <w:szCs w:val="20"/>
              </w:rPr>
            </w:pPr>
          </w:p>
          <w:p>
            <w:pPr>
              <w:pStyle w:val="7"/>
              <w:spacing w:line="292" w:lineRule="auto"/>
              <w:ind w:left="107" w:right="97"/>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安全评估的基本情况</w:t>
            </w:r>
          </w:p>
        </w:tc>
        <w:tc>
          <w:tcPr>
            <w:tcW w:w="1137" w:type="dxa"/>
            <w:shd w:val="clear" w:color="auto" w:fill="F1F1F1"/>
          </w:tcPr>
          <w:p>
            <w:pPr>
              <w:pStyle w:val="7"/>
              <w:spacing w:before="160"/>
              <w:ind w:left="167"/>
              <w:rPr>
                <w:rFonts w:hint="eastAsia" w:ascii="微软雅黑" w:hAnsi="微软雅黑" w:eastAsia="微软雅黑" w:cs="微软雅黑"/>
                <w:sz w:val="20"/>
                <w:szCs w:val="20"/>
              </w:rPr>
            </w:pPr>
            <w:r>
              <w:rPr>
                <w:rFonts w:hint="eastAsia" w:ascii="微软雅黑" w:hAnsi="微软雅黑" w:eastAsia="微软雅黑" w:cs="微软雅黑"/>
                <w:sz w:val="20"/>
                <w:szCs w:val="20"/>
              </w:rPr>
              <w:t>服务名称</w:t>
            </w:r>
          </w:p>
        </w:tc>
        <w:tc>
          <w:tcPr>
            <w:tcW w:w="1279" w:type="dxa"/>
          </w:tcPr>
          <w:p>
            <w:pPr>
              <w:pStyle w:val="7"/>
              <w:spacing w:line="154" w:lineRule="exact"/>
              <w:ind w:left="360"/>
              <w:rPr>
                <w:rFonts w:hint="eastAsia" w:ascii="微软雅黑" w:hAnsi="微软雅黑" w:eastAsia="微软雅黑" w:cs="微软雅黑"/>
                <w:sz w:val="20"/>
                <w:szCs w:val="20"/>
              </w:rPr>
            </w:pPr>
          </w:p>
        </w:tc>
        <w:tc>
          <w:tcPr>
            <w:tcW w:w="2052" w:type="dxa"/>
          </w:tcPr>
          <w:p>
            <w:pPr>
              <w:pStyle w:val="7"/>
              <w:spacing w:before="160"/>
              <w:ind w:left="627"/>
              <w:rPr>
                <w:rFonts w:hint="eastAsia" w:ascii="微软雅黑" w:hAnsi="微软雅黑" w:eastAsia="微软雅黑" w:cs="微软雅黑"/>
                <w:sz w:val="20"/>
                <w:szCs w:val="20"/>
              </w:rPr>
            </w:pPr>
            <w:r>
              <w:rPr>
                <w:rFonts w:hint="eastAsia" w:ascii="微软雅黑" w:hAnsi="微软雅黑" w:eastAsia="微软雅黑" w:cs="微软雅黑"/>
                <w:sz w:val="20"/>
                <w:szCs w:val="20"/>
              </w:rPr>
              <w:t>功能名称</w:t>
            </w:r>
          </w:p>
        </w:tc>
        <w:tc>
          <w:tcPr>
            <w:tcW w:w="3480" w:type="dxa"/>
            <w:gridSpan w:val="2"/>
          </w:tcPr>
          <w:p>
            <w:pPr>
              <w:pStyle w:val="7"/>
              <w:spacing w:line="154" w:lineRule="exact"/>
              <w:ind w:left="66"/>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shd w:val="clear" w:color="auto" w:fill="F1F1F1"/>
          </w:tcPr>
          <w:p>
            <w:pPr>
              <w:pStyle w:val="7"/>
              <w:spacing w:before="99"/>
              <w:ind w:left="167"/>
              <w:rPr>
                <w:rFonts w:hint="eastAsia" w:ascii="微软雅黑" w:hAnsi="微软雅黑" w:eastAsia="微软雅黑" w:cs="微软雅黑"/>
                <w:sz w:val="20"/>
                <w:szCs w:val="20"/>
              </w:rPr>
            </w:pPr>
            <w:r>
              <w:rPr>
                <w:rFonts w:hint="eastAsia" w:ascii="微软雅黑" w:hAnsi="微软雅黑" w:eastAsia="微软雅黑" w:cs="微软雅黑"/>
                <w:sz w:val="20"/>
                <w:szCs w:val="20"/>
              </w:rPr>
              <w:t>功能描述</w:t>
            </w:r>
          </w:p>
        </w:tc>
        <w:tc>
          <w:tcPr>
            <w:tcW w:w="6811" w:type="dxa"/>
            <w:gridSpan w:val="4"/>
          </w:tcPr>
          <w:p>
            <w:pPr>
              <w:pStyle w:val="7"/>
              <w:spacing w:before="6"/>
              <w:ind w:left="59"/>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公司软件产品信息展示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shd w:val="clear" w:color="auto" w:fill="F1F1F1"/>
          </w:tcPr>
          <w:p>
            <w:pPr>
              <w:pStyle w:val="7"/>
              <w:spacing w:before="11"/>
              <w:rPr>
                <w:rFonts w:hint="eastAsia" w:ascii="微软雅黑" w:hAnsi="微软雅黑" w:eastAsia="微软雅黑" w:cs="微软雅黑"/>
                <w:sz w:val="20"/>
                <w:szCs w:val="20"/>
              </w:rPr>
            </w:pPr>
          </w:p>
          <w:p>
            <w:pPr>
              <w:pStyle w:val="7"/>
              <w:ind w:left="167"/>
              <w:rPr>
                <w:rFonts w:hint="eastAsia" w:ascii="微软雅黑" w:hAnsi="微软雅黑" w:eastAsia="微软雅黑" w:cs="微软雅黑"/>
                <w:sz w:val="20"/>
                <w:szCs w:val="20"/>
              </w:rPr>
            </w:pPr>
            <w:r>
              <w:rPr>
                <w:rFonts w:hint="eastAsia" w:ascii="微软雅黑" w:hAnsi="微软雅黑" w:eastAsia="微软雅黑" w:cs="微软雅黑"/>
                <w:sz w:val="20"/>
                <w:szCs w:val="20"/>
              </w:rPr>
              <w:t>网络链接</w:t>
            </w:r>
          </w:p>
        </w:tc>
        <w:tc>
          <w:tcPr>
            <w:tcW w:w="1279" w:type="dxa"/>
          </w:tcPr>
          <w:p>
            <w:pPr>
              <w:pStyle w:val="7"/>
              <w:rPr>
                <w:rFonts w:hint="eastAsia" w:ascii="微软雅黑" w:hAnsi="微软雅黑" w:eastAsia="微软雅黑" w:cs="微软雅黑"/>
                <w:sz w:val="20"/>
                <w:szCs w:val="20"/>
              </w:rPr>
            </w:pPr>
          </w:p>
          <w:p>
            <w:pPr>
              <w:pStyle w:val="7"/>
              <w:spacing w:before="114"/>
              <w:ind w:left="68"/>
              <w:rPr>
                <w:rFonts w:hint="eastAsia" w:ascii="微软雅黑" w:hAnsi="微软雅黑" w:eastAsia="微软雅黑" w:cs="微软雅黑"/>
                <w:sz w:val="20"/>
                <w:szCs w:val="20"/>
              </w:rPr>
            </w:pPr>
            <w:r>
              <w:rPr>
                <w:rFonts w:hint="eastAsia" w:ascii="微软雅黑" w:hAnsi="微软雅黑" w:eastAsia="微软雅黑" w:cs="微软雅黑"/>
                <w:sz w:val="20"/>
                <w:szCs w:val="20"/>
              </w:rPr>
              <w:t>网站</w:t>
            </w:r>
          </w:p>
        </w:tc>
        <w:tc>
          <w:tcPr>
            <w:tcW w:w="2052" w:type="dxa"/>
          </w:tcPr>
          <w:p>
            <w:pPr>
              <w:pStyle w:val="7"/>
              <w:spacing w:before="11"/>
              <w:rPr>
                <w:rFonts w:hint="eastAsia" w:ascii="微软雅黑" w:hAnsi="微软雅黑" w:eastAsia="微软雅黑" w:cs="微软雅黑"/>
                <w:sz w:val="20"/>
                <w:szCs w:val="20"/>
              </w:rPr>
            </w:pPr>
          </w:p>
          <w:p>
            <w:pPr>
              <w:pStyle w:val="7"/>
              <w:ind w:left="327"/>
              <w:rPr>
                <w:rFonts w:hint="eastAsia" w:ascii="微软雅黑" w:hAnsi="微软雅黑" w:eastAsia="微软雅黑" w:cs="微软雅黑"/>
                <w:sz w:val="20"/>
                <w:szCs w:val="20"/>
              </w:rPr>
            </w:pPr>
            <w:r>
              <w:rPr>
                <w:rFonts w:hint="eastAsia" w:ascii="微软雅黑" w:hAnsi="微软雅黑" w:eastAsia="微软雅黑" w:cs="微软雅黑"/>
                <w:sz w:val="20"/>
                <w:szCs w:val="20"/>
              </w:rPr>
              <w:t>访问或下载地址</w:t>
            </w:r>
          </w:p>
        </w:tc>
        <w:tc>
          <w:tcPr>
            <w:tcW w:w="3480" w:type="dxa"/>
            <w:gridSpan w:val="2"/>
          </w:tcPr>
          <w:p>
            <w:pPr>
              <w:pStyle w:val="7"/>
              <w:spacing w:before="4"/>
              <w:ind w:left="71"/>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restart"/>
            <w:shd w:val="clear" w:color="auto" w:fill="F1F1F1"/>
          </w:tcPr>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130" w:line="292" w:lineRule="auto"/>
              <w:ind w:left="266" w:right="160" w:hanging="99"/>
              <w:rPr>
                <w:rFonts w:hint="eastAsia" w:ascii="微软雅黑" w:hAnsi="微软雅黑" w:eastAsia="微软雅黑" w:cs="微软雅黑"/>
                <w:sz w:val="20"/>
                <w:szCs w:val="20"/>
              </w:rPr>
            </w:pPr>
            <w:r>
              <w:rPr>
                <w:rFonts w:hint="eastAsia" w:ascii="微软雅黑" w:hAnsi="微软雅黑" w:eastAsia="微软雅黑" w:cs="微软雅黑"/>
                <w:sz w:val="20"/>
                <w:szCs w:val="20"/>
              </w:rPr>
              <w:t>开展评估的情况</w:t>
            </w:r>
          </w:p>
        </w:tc>
        <w:tc>
          <w:tcPr>
            <w:tcW w:w="6811" w:type="dxa"/>
            <w:gridSpan w:val="4"/>
          </w:tcPr>
          <w:p>
            <w:pPr>
              <w:pStyle w:val="7"/>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rPr>
                <w:rFonts w:hint="eastAsia" w:ascii="微软雅黑" w:hAnsi="微软雅黑" w:eastAsia="微软雅黑" w:cs="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spacing w:before="116"/>
              <w:ind w:left="59"/>
              <w:rPr>
                <w:rFonts w:hint="eastAsia" w:ascii="微软雅黑" w:hAnsi="微软雅黑" w:eastAsia="微软雅黑" w:cs="微软雅黑"/>
                <w:sz w:val="20"/>
                <w:szCs w:val="20"/>
              </w:rPr>
            </w:pPr>
            <w:r>
              <w:rPr>
                <w:rFonts w:hint="eastAsia" w:ascii="微软雅黑" w:hAnsi="微软雅黑" w:eastAsia="微软雅黑" w:cs="微软雅黑"/>
                <w:sz w:val="20"/>
                <w:szCs w:val="20"/>
              </w:rPr>
              <w:t>地市级以上网信部门或公安机关书面通知需要进行安全评估的其他情形;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shd w:val="clear" w:color="auto" w:fill="F1F1F1"/>
          </w:tcPr>
          <w:p>
            <w:pPr>
              <w:pStyle w:val="7"/>
              <w:spacing w:before="81"/>
              <w:ind w:left="107"/>
              <w:rPr>
                <w:rFonts w:hint="eastAsia" w:ascii="微软雅黑" w:hAnsi="微软雅黑" w:eastAsia="微软雅黑" w:cs="微软雅黑"/>
                <w:sz w:val="20"/>
                <w:szCs w:val="20"/>
              </w:rPr>
            </w:pPr>
            <w:r>
              <w:rPr>
                <w:rFonts w:hint="eastAsia" w:ascii="微软雅黑" w:hAnsi="微软雅黑" w:eastAsia="微软雅黑" w:cs="微软雅黑"/>
                <w:sz w:val="20"/>
                <w:szCs w:val="20"/>
              </w:rPr>
              <w:t>评估方式</w:t>
            </w:r>
          </w:p>
        </w:tc>
        <w:tc>
          <w:tcPr>
            <w:tcW w:w="6811" w:type="dxa"/>
            <w:gridSpan w:val="4"/>
          </w:tcPr>
          <w:p>
            <w:pPr>
              <w:pStyle w:val="7"/>
              <w:spacing w:before="81"/>
              <w:ind w:left="108"/>
              <w:rPr>
                <w:rFonts w:hint="eastAsia" w:ascii="微软雅黑" w:hAnsi="微软雅黑" w:eastAsia="微软雅黑" w:cs="微软雅黑"/>
                <w:sz w:val="20"/>
                <w:szCs w:val="20"/>
              </w:rPr>
            </w:pPr>
            <w:r>
              <w:rPr>
                <w:rFonts w:hint="eastAsia" w:ascii="微软雅黑" w:hAnsi="微软雅黑" w:eastAsia="微软雅黑" w:cs="微软雅黑"/>
                <w:sz w:val="20"/>
                <w:szCs w:val="20"/>
              </w:rPr>
              <w:t>自评估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restart"/>
            <w:shd w:val="clear" w:color="auto" w:fill="F1F1F1"/>
          </w:tcPr>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10"/>
              <w:rPr>
                <w:rFonts w:hint="eastAsia" w:ascii="微软雅黑" w:hAnsi="微软雅黑" w:eastAsia="微软雅黑" w:cs="微软雅黑"/>
                <w:sz w:val="20"/>
                <w:szCs w:val="20"/>
              </w:rPr>
            </w:pPr>
          </w:p>
          <w:p>
            <w:pPr>
              <w:pStyle w:val="7"/>
              <w:spacing w:before="1"/>
              <w:ind w:left="167"/>
              <w:rPr>
                <w:rFonts w:hint="eastAsia" w:ascii="微软雅黑" w:hAnsi="微软雅黑" w:eastAsia="微软雅黑" w:cs="微软雅黑"/>
                <w:sz w:val="20"/>
                <w:szCs w:val="20"/>
              </w:rPr>
            </w:pPr>
            <w:r>
              <w:rPr>
                <w:rFonts w:hint="eastAsia" w:ascii="微软雅黑" w:hAnsi="微软雅黑" w:eastAsia="微软雅黑" w:cs="微软雅黑"/>
                <w:sz w:val="20"/>
                <w:szCs w:val="20"/>
              </w:rPr>
              <w:t>主要内容</w:t>
            </w:r>
          </w:p>
        </w:tc>
        <w:tc>
          <w:tcPr>
            <w:tcW w:w="6811" w:type="dxa"/>
            <w:gridSpan w:val="4"/>
          </w:tcPr>
          <w:p>
            <w:pPr>
              <w:pStyle w:val="7"/>
              <w:spacing w:before="52"/>
              <w:ind w:left="108"/>
              <w:rPr>
                <w:rFonts w:hint="eastAsia" w:ascii="微软雅黑" w:hAnsi="微软雅黑" w:eastAsia="微软雅黑" w:cs="微软雅黑"/>
                <w:sz w:val="20"/>
                <w:szCs w:val="20"/>
              </w:rPr>
            </w:pPr>
            <w:r>
              <w:rPr>
                <w:rFonts w:hint="eastAsia" w:ascii="微软雅黑" w:hAnsi="微软雅黑" w:eastAsia="微软雅黑" w:cs="微软雅黑"/>
                <w:sz w:val="20"/>
                <w:szCs w:val="20"/>
              </w:rPr>
              <w:t>1、安全管理负责人、信息审核人员及安全管理机构设立情况。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spacing w:before="22" w:line="216" w:lineRule="auto"/>
              <w:ind w:left="68" w:right="150"/>
              <w:rPr>
                <w:rFonts w:hint="eastAsia" w:ascii="微软雅黑" w:hAnsi="微软雅黑" w:eastAsia="微软雅黑" w:cs="微软雅黑"/>
                <w:sz w:val="20"/>
                <w:szCs w:val="20"/>
              </w:rPr>
            </w:pPr>
            <w:r>
              <w:rPr>
                <w:rFonts w:hint="eastAsia" w:ascii="微软雅黑" w:hAnsi="微软雅黑" w:eastAsia="微软雅黑" w:cs="微软雅黑"/>
                <w:sz w:val="20"/>
                <w:szCs w:val="20"/>
              </w:rPr>
              <w:t>公司设有编辑审被部门、运营管理部门、运维管理部门﹔编辑审核部门将对每日的新闻内容进行审核，运营部门对用户的帖子内容进行审核，运维管理部门负责日志留存记录、内容拦截等工作。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spacing w:before="49"/>
              <w:ind w:left="108"/>
              <w:rPr>
                <w:rFonts w:hint="eastAsia" w:ascii="微软雅黑" w:hAnsi="微软雅黑" w:eastAsia="微软雅黑" w:cs="微软雅黑"/>
                <w:sz w:val="20"/>
                <w:szCs w:val="20"/>
              </w:rPr>
            </w:pPr>
            <w:r>
              <w:rPr>
                <w:rFonts w:hint="eastAsia" w:ascii="微软雅黑" w:hAnsi="微软雅黑" w:eastAsia="微软雅黑" w:cs="微软雅黑"/>
                <w:sz w:val="20"/>
                <w:szCs w:val="20"/>
              </w:rPr>
              <w:t>2、用户真实身份核验及注册信息留存措施。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415" w:type="dxa"/>
            <w:vMerge w:val="continue"/>
            <w:tcBorders>
              <w:top w:val="nil"/>
            </w:tcBorders>
            <w:shd w:val="clear" w:color="auto" w:fill="F1F1F1"/>
          </w:tcPr>
          <w:p>
            <w:pPr>
              <w:rPr>
                <w:rFonts w:hint="eastAsia" w:ascii="微软雅黑" w:hAnsi="微软雅黑" w:eastAsia="微软雅黑" w:cs="微软雅黑"/>
                <w:sz w:val="20"/>
                <w:szCs w:val="20"/>
              </w:rPr>
            </w:pPr>
          </w:p>
        </w:tc>
        <w:tc>
          <w:tcPr>
            <w:tcW w:w="1137" w:type="dxa"/>
            <w:vMerge w:val="continue"/>
            <w:tcBorders>
              <w:top w:val="nil"/>
            </w:tcBorders>
            <w:shd w:val="clear" w:color="auto" w:fill="F1F1F1"/>
          </w:tcPr>
          <w:p>
            <w:pPr>
              <w:rPr>
                <w:rFonts w:hint="eastAsia" w:ascii="微软雅黑" w:hAnsi="微软雅黑" w:eastAsia="微软雅黑" w:cs="微软雅黑"/>
                <w:sz w:val="20"/>
                <w:szCs w:val="20"/>
              </w:rPr>
            </w:pPr>
          </w:p>
        </w:tc>
        <w:tc>
          <w:tcPr>
            <w:tcW w:w="6811" w:type="dxa"/>
            <w:gridSpan w:val="4"/>
          </w:tcPr>
          <w:p>
            <w:pPr>
              <w:pStyle w:val="7"/>
              <w:spacing w:before="11" w:line="216" w:lineRule="auto"/>
              <w:ind w:left="68" w:right="126"/>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在用户注册时需要使用手机号注册，我们可以根据手机号对其身份信息进行核验，同时通过日志留存设备检查将该用户身份信息、终端IP地址、终端型号、MAC地址和上网所用账号进行有效绑定，并对应至相应数据表。</w:t>
            </w:r>
          </w:p>
        </w:tc>
      </w:tr>
    </w:tbl>
    <w:p>
      <w:pPr>
        <w:spacing w:after="0" w:line="216" w:lineRule="auto"/>
        <w:jc w:val="both"/>
        <w:rPr>
          <w:sz w:val="14"/>
        </w:rPr>
        <w:sectPr>
          <w:type w:val="continuous"/>
          <w:pgSz w:w="11910" w:h="16840"/>
          <w:pgMar w:top="1520" w:right="1620" w:bottom="280" w:left="1680" w:header="720" w:footer="720" w:gutter="0"/>
        </w:sectPr>
      </w:pP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137"/>
        <w:gridCol w:w="6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15" w:type="dxa"/>
            <w:vMerge w:val="restart"/>
            <w:tcBorders>
              <w:top w:val="nil"/>
            </w:tcBorders>
            <w:shd w:val="clear" w:color="auto" w:fill="F1F1F1"/>
          </w:tcPr>
          <w:p>
            <w:pPr>
              <w:pStyle w:val="7"/>
              <w:rPr>
                <w:rFonts w:ascii="Times New Roman"/>
                <w:sz w:val="16"/>
              </w:rPr>
            </w:pPr>
          </w:p>
        </w:tc>
        <w:tc>
          <w:tcPr>
            <w:tcW w:w="1137" w:type="dxa"/>
            <w:vMerge w:val="restart"/>
            <w:tcBorders>
              <w:top w:val="nil"/>
            </w:tcBorders>
            <w:shd w:val="clear" w:color="auto" w:fill="F1F1F1"/>
          </w:tcPr>
          <w:p>
            <w:pPr>
              <w:pStyle w:val="7"/>
              <w:rPr>
                <w:rFonts w:hint="eastAsia" w:ascii="微软雅黑" w:hAnsi="微软雅黑" w:eastAsia="微软雅黑" w:cs="微软雅黑"/>
                <w:sz w:val="16"/>
              </w:rPr>
            </w:pPr>
          </w:p>
        </w:tc>
        <w:tc>
          <w:tcPr>
            <w:tcW w:w="6812" w:type="dxa"/>
            <w:tcBorders>
              <w:bottom w:val="nil"/>
            </w:tcBorders>
          </w:tcPr>
          <w:p>
            <w:pPr>
              <w:pStyle w:val="7"/>
              <w:spacing w:before="25"/>
              <w:ind w:left="108"/>
              <w:rPr>
                <w:rFonts w:hint="eastAsia" w:ascii="微软雅黑" w:hAnsi="微软雅黑" w:eastAsia="微软雅黑" w:cs="微软雅黑"/>
                <w:sz w:val="20"/>
              </w:rPr>
            </w:pPr>
            <w:r>
              <w:rPr>
                <w:rFonts w:hint="eastAsia" w:ascii="微软雅黑" w:hAnsi="微软雅黑" w:eastAsia="微软雅黑" w:cs="微软雅黑"/>
                <w:sz w:val="20"/>
              </w:rPr>
              <w:t>3、对用户账号、操作时间、操作类型、网络源地址和目标地址、网络源端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rFonts w:hint="eastAsia" w:ascii="微软雅黑" w:hAnsi="微软雅黑" w:eastAsia="微软雅黑" w:cs="微软雅黑"/>
                <w:sz w:val="2"/>
                <w:szCs w:val="2"/>
              </w:rPr>
            </w:pPr>
          </w:p>
        </w:tc>
        <w:tc>
          <w:tcPr>
            <w:tcW w:w="6812" w:type="dxa"/>
            <w:tcBorders>
              <w:top w:val="nil"/>
            </w:tcBorders>
          </w:tcPr>
          <w:p>
            <w:pPr>
              <w:pStyle w:val="7"/>
              <w:spacing w:before="22"/>
              <w:ind w:left="108"/>
              <w:rPr>
                <w:rFonts w:hint="eastAsia" w:ascii="微软雅黑" w:hAnsi="微软雅黑" w:eastAsia="微软雅黑" w:cs="微软雅黑"/>
                <w:sz w:val="20"/>
              </w:rPr>
            </w:pPr>
            <w:r>
              <w:rPr>
                <w:rFonts w:hint="eastAsia" w:ascii="微软雅黑" w:hAnsi="微软雅黑" w:eastAsia="微软雅黑" w:cs="微软雅黑"/>
                <w:sz w:val="20"/>
              </w:rPr>
              <w:t>口、客户端硬件特征等日志信息，以及用户发布信息记录的留存措施。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Pr>
          <w:p>
            <w:pPr>
              <w:pStyle w:val="7"/>
              <w:spacing w:before="10" w:line="216" w:lineRule="auto"/>
              <w:ind w:left="68" w:right="151"/>
              <w:jc w:val="both"/>
              <w:rPr>
                <w:sz w:val="14"/>
              </w:rPr>
            </w:pPr>
            <w:r>
              <w:rPr>
                <w:rFonts w:hint="eastAsia" w:ascii="微软雅黑" w:hAnsi="微软雅黑" w:eastAsia="微软雅黑" w:cs="微软雅黑"/>
                <w:sz w:val="20"/>
                <w:szCs w:val="20"/>
              </w:rPr>
              <w:t>通过日志留存设备记录用户账号、操作时间、操作类型、网络源地址和目标地址、网络源端口、客户端硬件特征等日志信息；同时日志留存设备提供基于时间、应用服务类型、IP地址、端口、账号为查询条件的查询功能；可以通过日志留存设备的查询模块，查找所对应的终端以及其使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bottom w:val="nil"/>
            </w:tcBorders>
          </w:tcPr>
          <w:p>
            <w:pPr>
              <w:pStyle w:val="7"/>
              <w:spacing w:before="25"/>
              <w:ind w:left="108"/>
              <w:rPr>
                <w:rFonts w:hint="eastAsia" w:ascii="微软雅黑" w:hAnsi="微软雅黑" w:eastAsia="微软雅黑" w:cs="微软雅黑"/>
                <w:sz w:val="20"/>
              </w:rPr>
            </w:pPr>
            <w:r>
              <w:rPr>
                <w:rFonts w:hint="eastAsia" w:ascii="微软雅黑" w:hAnsi="微软雅黑" w:eastAsia="微软雅黑" w:cs="微软雅黑"/>
                <w:sz w:val="20"/>
              </w:rPr>
              <w:t>4、对用户账号和通讯群组名称、昵称、简介、备注、标识，信息发布、转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top w:val="nil"/>
              <w:bottom w:val="nil"/>
            </w:tcBorders>
          </w:tcPr>
          <w:p>
            <w:pPr>
              <w:pStyle w:val="7"/>
              <w:spacing w:before="22"/>
              <w:ind w:left="108"/>
              <w:rPr>
                <w:rFonts w:hint="eastAsia" w:ascii="微软雅黑" w:hAnsi="微软雅黑" w:eastAsia="微软雅黑" w:cs="微软雅黑"/>
                <w:sz w:val="20"/>
              </w:rPr>
            </w:pPr>
            <w:r>
              <w:rPr>
                <w:rFonts w:hint="eastAsia" w:ascii="微软雅黑" w:hAnsi="微软雅黑" w:eastAsia="微软雅黑" w:cs="微软雅黑"/>
                <w:sz w:val="20"/>
              </w:rPr>
              <w:t>发、评论和通讯群组等服务功能中违法有害信息的防范处置和有关记录保存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top w:val="nil"/>
            </w:tcBorders>
          </w:tcPr>
          <w:p>
            <w:pPr>
              <w:pStyle w:val="7"/>
              <w:spacing w:before="22"/>
              <w:ind w:left="108"/>
              <w:rPr>
                <w:rFonts w:hint="eastAsia" w:ascii="微软雅黑" w:hAnsi="微软雅黑" w:eastAsia="微软雅黑" w:cs="微软雅黑"/>
                <w:sz w:val="20"/>
              </w:rPr>
            </w:pPr>
            <w:r>
              <w:rPr>
                <w:rFonts w:hint="eastAsia" w:ascii="微软雅黑" w:hAnsi="微软雅黑" w:eastAsia="微软雅黑" w:cs="微软雅黑"/>
                <w:sz w:val="20"/>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Pr>
          <w:p>
            <w:pPr>
              <w:pStyle w:val="7"/>
              <w:spacing w:before="10" w:line="240" w:lineRule="auto"/>
              <w:ind w:left="68" w:right="151"/>
              <w:rPr>
                <w:rFonts w:hint="eastAsia" w:ascii="微软雅黑" w:hAnsi="微软雅黑" w:eastAsia="微软雅黑" w:cs="微软雅黑"/>
                <w:sz w:val="20"/>
                <w:szCs w:val="20"/>
              </w:rPr>
            </w:pPr>
            <w:r>
              <w:rPr>
                <w:rFonts w:hint="eastAsia" w:ascii="微软雅黑" w:hAnsi="微软雅黑" w:eastAsia="微软雅黑" w:cs="微软雅黑"/>
                <w:sz w:val="20"/>
                <w:szCs w:val="20"/>
              </w:rPr>
              <w:t>日志留存设备将对系统管理员日志备份数据的修改及删除操作进行记录，同时记录所有对重要服务器的访问记录；</w:t>
            </w:r>
          </w:p>
          <w:p>
            <w:pPr>
              <w:pStyle w:val="7"/>
              <w:numPr>
                <w:ilvl w:val="0"/>
                <w:numId w:val="1"/>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提供黑名单功能，能够设置关键词、链接等；</w:t>
            </w:r>
          </w:p>
          <w:p>
            <w:pPr>
              <w:pStyle w:val="7"/>
              <w:numPr>
                <w:ilvl w:val="0"/>
                <w:numId w:val="1"/>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提供拦截通知功能，对特定的网址和帖子进行拦截、邮件告知等；</w:t>
            </w:r>
          </w:p>
          <w:p>
            <w:pPr>
              <w:pStyle w:val="7"/>
              <w:numPr>
                <w:ilvl w:val="0"/>
                <w:numId w:val="1"/>
              </w:numPr>
              <w:tabs>
                <w:tab w:val="left" w:pos="187"/>
              </w:tabs>
              <w:spacing w:before="0" w:after="0" w:line="240" w:lineRule="auto"/>
              <w:ind w:left="186" w:right="0" w:hanging="119"/>
              <w:jc w:val="left"/>
              <w:rPr>
                <w:sz w:val="14"/>
              </w:rPr>
            </w:pPr>
            <w:r>
              <w:rPr>
                <w:rFonts w:hint="eastAsia" w:ascii="微软雅黑" w:hAnsi="微软雅黑" w:eastAsia="微软雅黑" w:cs="微软雅黑"/>
                <w:sz w:val="20"/>
                <w:szCs w:val="20"/>
              </w:rPr>
              <w:t>能够记录所使用终端的相关信息和上网行为有关信息。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bottom w:val="nil"/>
            </w:tcBorders>
          </w:tcPr>
          <w:p>
            <w:pPr>
              <w:pStyle w:val="7"/>
              <w:spacing w:before="25"/>
              <w:ind w:left="108"/>
              <w:rPr>
                <w:rFonts w:hint="eastAsia" w:ascii="微软雅黑" w:hAnsi="微软雅黑" w:eastAsia="微软雅黑" w:cs="微软雅黑"/>
                <w:sz w:val="20"/>
              </w:rPr>
            </w:pPr>
            <w:r>
              <w:rPr>
                <w:rFonts w:hint="eastAsia" w:ascii="微软雅黑" w:hAnsi="微软雅黑" w:eastAsia="微软雅黑" w:cs="微软雅黑"/>
                <w:sz w:val="20"/>
              </w:rPr>
              <w:t>5、个人信息保护以及防范违法有害信息传播扩散、社会动员功能失控风险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top w:val="nil"/>
            </w:tcBorders>
          </w:tcPr>
          <w:p>
            <w:pPr>
              <w:pStyle w:val="7"/>
              <w:spacing w:before="22"/>
              <w:ind w:left="108"/>
              <w:rPr>
                <w:rFonts w:hint="eastAsia" w:ascii="微软雅黑" w:hAnsi="微软雅黑" w:eastAsia="微软雅黑" w:cs="微软雅黑"/>
                <w:sz w:val="20"/>
              </w:rPr>
            </w:pPr>
            <w:r>
              <w:rPr>
                <w:rFonts w:hint="eastAsia" w:ascii="微软雅黑" w:hAnsi="微软雅黑" w:eastAsia="微软雅黑" w:cs="微软雅黑"/>
                <w:sz w:val="20"/>
              </w:rPr>
              <w:t>的技术措施。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Pr>
          <w:p>
            <w:pPr>
              <w:pStyle w:val="7"/>
              <w:numPr>
                <w:ilvl w:val="0"/>
                <w:numId w:val="2"/>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提供黑名单功能，能够设置关键词、链接等；</w:t>
            </w:r>
          </w:p>
          <w:p>
            <w:pPr>
              <w:pStyle w:val="7"/>
              <w:numPr>
                <w:ilvl w:val="0"/>
                <w:numId w:val="2"/>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提供拦截通知功能，对特定的网址和帖子进行拦截、邮件告知等；</w:t>
            </w:r>
          </w:p>
          <w:p>
            <w:pPr>
              <w:pStyle w:val="7"/>
              <w:numPr>
                <w:ilvl w:val="0"/>
                <w:numId w:val="2"/>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能够记录所使用终端的相关信息和上网行为有关信息</w:t>
            </w:r>
          </w:p>
          <w:p>
            <w:pPr>
              <w:pStyle w:val="7"/>
              <w:numPr>
                <w:ilvl w:val="0"/>
                <w:numId w:val="2"/>
              </w:numPr>
              <w:tabs>
                <w:tab w:val="left" w:pos="187"/>
              </w:tabs>
              <w:spacing w:before="0" w:after="0" w:line="240" w:lineRule="auto"/>
              <w:ind w:left="186" w:right="0" w:hanging="119"/>
              <w:jc w:val="left"/>
              <w:rPr>
                <w:sz w:val="14"/>
              </w:rPr>
            </w:pPr>
            <w:r>
              <w:rPr>
                <w:rFonts w:hint="eastAsia" w:ascii="微软雅黑" w:hAnsi="微软雅黑" w:eastAsia="微软雅黑" w:cs="微软雅黑"/>
                <w:sz w:val="20"/>
                <w:szCs w:val="20"/>
              </w:rPr>
              <w:t>对个人信息进行加密存储，存储数据库以及服务器，每隔一个月进行密码更换。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bottom w:val="nil"/>
            </w:tcBorders>
          </w:tcPr>
          <w:p>
            <w:pPr>
              <w:pStyle w:val="7"/>
              <w:spacing w:before="25"/>
              <w:ind w:left="108"/>
              <w:rPr>
                <w:rFonts w:hint="eastAsia" w:ascii="微软雅黑" w:hAnsi="微软雅黑" w:eastAsia="微软雅黑" w:cs="微软雅黑"/>
                <w:sz w:val="20"/>
              </w:rPr>
            </w:pPr>
            <w:r>
              <w:rPr>
                <w:rFonts w:hint="eastAsia" w:ascii="微软雅黑" w:hAnsi="微软雅黑" w:eastAsia="微软雅黑" w:cs="微软雅黑"/>
                <w:sz w:val="20"/>
              </w:rPr>
              <w:t>6、建立投诉、举报制度，公布投诉、举报方式等信息，及时受理并处理有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Borders>
              <w:top w:val="nil"/>
            </w:tcBorders>
          </w:tcPr>
          <w:p>
            <w:pPr>
              <w:pStyle w:val="7"/>
              <w:spacing w:before="22"/>
              <w:ind w:left="108"/>
              <w:rPr>
                <w:rFonts w:hint="eastAsia" w:ascii="微软雅黑" w:hAnsi="微软雅黑" w:eastAsia="微软雅黑" w:cs="微软雅黑"/>
                <w:sz w:val="20"/>
              </w:rPr>
            </w:pPr>
            <w:r>
              <w:rPr>
                <w:rFonts w:hint="eastAsia" w:ascii="微软雅黑" w:hAnsi="微软雅黑" w:eastAsia="微软雅黑" w:cs="微软雅黑"/>
                <w:sz w:val="20"/>
              </w:rPr>
              <w:t>关投诉和举报的情况。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12" w:type="dxa"/>
          </w:tcPr>
          <w:p>
            <w:pPr>
              <w:pStyle w:val="7"/>
              <w:spacing w:before="11" w:line="240" w:lineRule="auto"/>
              <w:ind w:left="68" w:right="151"/>
              <w:rPr>
                <w:sz w:val="14"/>
              </w:rPr>
            </w:pPr>
            <w:r>
              <w:rPr>
                <w:rFonts w:hint="eastAsia" w:ascii="微软雅黑" w:hAnsi="微软雅黑" w:eastAsia="微软雅黑" w:cs="微软雅黑"/>
                <w:sz w:val="20"/>
                <w:szCs w:val="20"/>
              </w:rPr>
              <w:t>提供网址和帖子举报机制，举报后将推送消息给运营人员；运营人员会及时受理并排查举报内容是否合法合规；</w:t>
            </w:r>
          </w:p>
        </w:tc>
      </w:tr>
    </w:tbl>
    <w:p>
      <w:pPr>
        <w:spacing w:after="0" w:line="216" w:lineRule="auto"/>
        <w:rPr>
          <w:sz w:val="14"/>
        </w:rPr>
        <w:sectPr>
          <w:pgSz w:w="11910" w:h="16840"/>
          <w:pgMar w:top="1420" w:right="1620" w:bottom="280" w:left="1680" w:header="720" w:footer="720" w:gutter="0"/>
        </w:sectPr>
      </w:pP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137"/>
        <w:gridCol w:w="2253"/>
        <w:gridCol w:w="3152"/>
        <w:gridCol w:w="69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5" w:type="dxa"/>
            <w:vMerge w:val="restart"/>
            <w:tcBorders>
              <w:top w:val="nil"/>
            </w:tcBorders>
            <w:shd w:val="clear" w:color="auto" w:fill="F1F1F1"/>
          </w:tcPr>
          <w:p>
            <w:pPr>
              <w:pStyle w:val="7"/>
              <w:rPr>
                <w:rFonts w:ascii="Times New Roman"/>
                <w:sz w:val="18"/>
              </w:rPr>
            </w:pPr>
          </w:p>
        </w:tc>
        <w:tc>
          <w:tcPr>
            <w:tcW w:w="1137" w:type="dxa"/>
            <w:vMerge w:val="restart"/>
            <w:tcBorders>
              <w:top w:val="nil"/>
            </w:tcBorders>
            <w:shd w:val="clear" w:color="auto" w:fill="F1F1F1"/>
          </w:tcPr>
          <w:p>
            <w:pPr>
              <w:pStyle w:val="7"/>
              <w:rPr>
                <w:rFonts w:ascii="Times New Roman"/>
                <w:sz w:val="18"/>
              </w:rPr>
            </w:pPr>
          </w:p>
        </w:tc>
        <w:tc>
          <w:tcPr>
            <w:tcW w:w="6809" w:type="dxa"/>
            <w:gridSpan w:val="4"/>
          </w:tcPr>
          <w:p>
            <w:pPr>
              <w:pStyle w:val="7"/>
              <w:spacing w:before="25"/>
              <w:ind w:left="108"/>
              <w:rPr>
                <w:rFonts w:hint="eastAsia" w:ascii="微软雅黑" w:hAnsi="微软雅黑" w:eastAsia="微软雅黑" w:cs="微软雅黑"/>
                <w:sz w:val="20"/>
              </w:rPr>
            </w:pPr>
            <w:r>
              <w:rPr>
                <w:rFonts w:hint="eastAsia" w:ascii="微软雅黑" w:hAnsi="微软雅黑" w:eastAsia="微软雅黑" w:cs="微软雅黑"/>
                <w:sz w:val="20"/>
              </w:rPr>
              <w:t>7、建立为监管部门和执法部门依法履职提供技术、数据支持和协助的工作</w:t>
            </w:r>
          </w:p>
          <w:p>
            <w:pPr>
              <w:pStyle w:val="7"/>
              <w:spacing w:before="56"/>
              <w:ind w:left="108"/>
              <w:rPr>
                <w:sz w:val="20"/>
              </w:rPr>
            </w:pPr>
            <w:r>
              <w:rPr>
                <w:rFonts w:hint="eastAsia" w:ascii="微软雅黑" w:hAnsi="微软雅黑" w:eastAsia="微软雅黑" w:cs="微软雅黑"/>
                <w:sz w:val="20"/>
              </w:rPr>
              <w:t>机制的情况。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3" w:hRule="atLeast"/>
        </w:trPr>
        <w:tc>
          <w:tcPr>
            <w:tcW w:w="415" w:type="dxa"/>
            <w:vMerge w:val="continue"/>
            <w:tcBorders>
              <w:top w:val="nil"/>
            </w:tcBorders>
            <w:shd w:val="clear" w:color="auto" w:fill="F1F1F1"/>
          </w:tcPr>
          <w:p>
            <w:pPr>
              <w:rPr>
                <w:sz w:val="2"/>
                <w:szCs w:val="2"/>
              </w:rPr>
            </w:pPr>
          </w:p>
        </w:tc>
        <w:tc>
          <w:tcPr>
            <w:tcW w:w="1137" w:type="dxa"/>
            <w:vMerge w:val="continue"/>
            <w:tcBorders>
              <w:top w:val="nil"/>
            </w:tcBorders>
            <w:shd w:val="clear" w:color="auto" w:fill="F1F1F1"/>
          </w:tcPr>
          <w:p>
            <w:pPr>
              <w:rPr>
                <w:sz w:val="2"/>
                <w:szCs w:val="2"/>
              </w:rPr>
            </w:pPr>
          </w:p>
        </w:tc>
        <w:tc>
          <w:tcPr>
            <w:tcW w:w="6809" w:type="dxa"/>
            <w:gridSpan w:val="4"/>
          </w:tcPr>
          <w:p>
            <w:pPr>
              <w:pStyle w:val="7"/>
              <w:numPr>
                <w:ilvl w:val="0"/>
                <w:numId w:val="3"/>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日志留存设备将提供应用会话记录和系统会话记录120天的记录；</w:t>
            </w:r>
          </w:p>
          <w:p>
            <w:pPr>
              <w:pStyle w:val="7"/>
              <w:numPr>
                <w:ilvl w:val="0"/>
                <w:numId w:val="3"/>
              </w:numPr>
              <w:tabs>
                <w:tab w:val="left" w:pos="187"/>
              </w:tabs>
              <w:spacing w:before="0" w:after="0" w:line="240" w:lineRule="auto"/>
              <w:ind w:left="186" w:right="0" w:hanging="119"/>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能够根据用户账号、终端设备、IP地址追溯用户真实身份信息；</w:t>
            </w:r>
          </w:p>
          <w:p>
            <w:pPr>
              <w:pStyle w:val="7"/>
              <w:numPr>
                <w:ilvl w:val="0"/>
                <w:numId w:val="3"/>
              </w:numPr>
              <w:tabs>
                <w:tab w:val="left" w:pos="187"/>
              </w:tabs>
              <w:spacing w:before="0" w:after="0" w:line="240" w:lineRule="auto"/>
              <w:ind w:left="186" w:right="0" w:hanging="119"/>
              <w:jc w:val="left"/>
              <w:rPr>
                <w:sz w:val="14"/>
              </w:rPr>
            </w:pPr>
            <w:r>
              <w:rPr>
                <w:rFonts w:hint="eastAsia" w:ascii="微软雅黑" w:hAnsi="微软雅黑" w:eastAsia="微软雅黑" w:cs="微软雅黑"/>
                <w:sz w:val="20"/>
                <w:szCs w:val="20"/>
              </w:rPr>
              <w:t>能够及时通过运营后台对所要拦截的内容进行拦截或者删除操作；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8361" w:type="dxa"/>
            <w:gridSpan w:val="6"/>
          </w:tcPr>
          <w:p>
            <w:pPr>
              <w:pStyle w:val="7"/>
              <w:spacing w:before="4"/>
              <w:rPr>
                <w:rFonts w:hint="eastAsia" w:ascii="微软雅黑" w:hAnsi="微软雅黑" w:eastAsia="微软雅黑" w:cs="微软雅黑"/>
                <w:sz w:val="20"/>
                <w:szCs w:val="20"/>
              </w:rPr>
            </w:pPr>
          </w:p>
          <w:p>
            <w:pPr>
              <w:pStyle w:val="7"/>
              <w:tabs>
                <w:tab w:val="left" w:pos="4311"/>
              </w:tabs>
              <w:spacing w:line="292" w:lineRule="auto"/>
              <w:ind w:left="107" w:right="126" w:firstLine="201"/>
              <w:jc w:val="both"/>
              <w:rPr>
                <w:rFonts w:hint="eastAsia" w:ascii="微软雅黑" w:hAnsi="微软雅黑" w:eastAsia="微软雅黑" w:cs="微软雅黑"/>
                <w:sz w:val="20"/>
                <w:szCs w:val="20"/>
              </w:rPr>
            </w:pPr>
            <w:r>
              <w:rPr>
                <w:rFonts w:hint="eastAsia" w:ascii="微软雅黑" w:hAnsi="微软雅黑" w:eastAsia="微软雅黑" w:cs="微软雅黑"/>
                <w:w w:val="99"/>
                <w:sz w:val="20"/>
                <w:szCs w:val="20"/>
                <w:u w:val="single"/>
              </w:rPr>
              <w:t xml:space="preserve"> </w:t>
            </w:r>
            <w:r>
              <w:rPr>
                <w:rFonts w:hint="eastAsia" w:ascii="微软雅黑" w:hAnsi="微软雅黑" w:eastAsia="微软雅黑" w:cs="微软雅黑"/>
                <w:sz w:val="20"/>
                <w:szCs w:val="20"/>
                <w:u w:val="single"/>
              </w:rPr>
              <w:tab/>
            </w:r>
            <w:r>
              <w:rPr>
                <w:rFonts w:hint="eastAsia" w:ascii="微软雅黑" w:hAnsi="微软雅黑" w:eastAsia="微软雅黑" w:cs="微软雅黑"/>
                <w:sz w:val="20"/>
                <w:szCs w:val="20"/>
              </w:rPr>
              <w:t>(姓名/单位名称)充分了解作为具有舆论属性</w:t>
            </w:r>
            <w:r>
              <w:rPr>
                <w:rFonts w:hint="eastAsia" w:ascii="微软雅黑" w:hAnsi="微软雅黑" w:eastAsia="微软雅黑" w:cs="微软雅黑"/>
                <w:spacing w:val="-4"/>
                <w:w w:val="95"/>
                <w:sz w:val="20"/>
                <w:szCs w:val="20"/>
              </w:rPr>
              <w:t xml:space="preserve">和社会动员能力的互联网信息服务开办主体的责任与义务，认真开展实施了安全评估，对评估   </w:t>
            </w:r>
            <w:r>
              <w:rPr>
                <w:rFonts w:hint="eastAsia" w:ascii="微软雅黑" w:hAnsi="微软雅黑" w:eastAsia="微软雅黑" w:cs="微软雅黑"/>
                <w:sz w:val="20"/>
                <w:szCs w:val="20"/>
              </w:rPr>
              <w:t>过程中发现的安全隐患及时整改，现已消除相关安全隐患。</w:t>
            </w:r>
          </w:p>
          <w:p>
            <w:pPr>
              <w:pStyle w:val="7"/>
              <w:spacing w:line="255" w:lineRule="exact"/>
              <w:ind w:left="410"/>
              <w:rPr>
                <w:rFonts w:hint="eastAsia" w:ascii="微软雅黑" w:hAnsi="微软雅黑" w:eastAsia="微软雅黑" w:cs="微软雅黑"/>
                <w:sz w:val="20"/>
                <w:szCs w:val="20"/>
              </w:rPr>
            </w:pPr>
            <w:r>
              <w:rPr>
                <w:rFonts w:hint="eastAsia" w:ascii="微软雅黑" w:hAnsi="微软雅黑" w:eastAsia="微软雅黑" w:cs="微软雅黑"/>
                <w:sz w:val="20"/>
                <w:szCs w:val="20"/>
              </w:rPr>
              <w:t>承诺所提交的安全评估资料真实有效，并承担相应的法律责任。</w:t>
            </w: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tabs>
                <w:tab w:val="left" w:pos="5211"/>
              </w:tabs>
              <w:spacing w:before="167"/>
              <w:ind w:left="909"/>
              <w:rPr>
                <w:rFonts w:hint="eastAsia" w:ascii="微软雅黑" w:hAnsi="微软雅黑" w:eastAsia="微软雅黑" w:cs="微软雅黑"/>
                <w:sz w:val="20"/>
                <w:szCs w:val="20"/>
              </w:rPr>
            </w:pPr>
            <w:r>
              <w:rPr>
                <w:rFonts w:hint="eastAsia" w:ascii="微软雅黑" w:hAnsi="微软雅黑" w:eastAsia="微软雅黑" w:cs="微软雅黑"/>
                <w:sz w:val="20"/>
                <w:szCs w:val="20"/>
              </w:rPr>
              <w:t>开办主体负责人:(签字)</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开办主体单位:（盖章）</w:t>
            </w: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rPr>
                <w:rFonts w:hint="eastAsia" w:ascii="微软雅黑" w:hAnsi="微软雅黑" w:eastAsia="微软雅黑" w:cs="微软雅黑"/>
                <w:sz w:val="20"/>
                <w:szCs w:val="20"/>
              </w:rPr>
            </w:pPr>
          </w:p>
          <w:p>
            <w:pPr>
              <w:pStyle w:val="7"/>
              <w:spacing w:before="5"/>
              <w:rPr>
                <w:rFonts w:hint="eastAsia" w:ascii="微软雅黑" w:hAnsi="微软雅黑" w:eastAsia="微软雅黑" w:cs="微软雅黑"/>
                <w:sz w:val="20"/>
                <w:szCs w:val="20"/>
              </w:rPr>
            </w:pPr>
          </w:p>
          <w:p>
            <w:pPr>
              <w:pStyle w:val="7"/>
              <w:tabs>
                <w:tab w:val="left" w:pos="695"/>
                <w:tab w:val="left" w:pos="1399"/>
              </w:tabs>
              <w:ind w:right="238"/>
              <w:jc w:val="right"/>
              <w:rPr>
                <w:rFonts w:hint="eastAsia" w:ascii="微软雅黑" w:hAnsi="微软雅黑" w:eastAsia="微软雅黑" w:cs="微软雅黑"/>
                <w:sz w:val="20"/>
                <w:szCs w:val="20"/>
              </w:rPr>
            </w:pPr>
            <w:r>
              <w:rPr>
                <w:rFonts w:hint="eastAsia" w:ascii="微软雅黑" w:hAnsi="微软雅黑" w:eastAsia="微软雅黑" w:cs="微软雅黑"/>
                <w:sz w:val="20"/>
                <w:szCs w:val="20"/>
              </w:rPr>
              <w:t>年</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rPr>
              <w:tab/>
            </w:r>
            <w:r>
              <w:rPr>
                <w:rFonts w:hint="eastAsia" w:ascii="微软雅黑" w:hAnsi="微软雅黑" w:eastAsia="微软雅黑" w:cs="微软雅黑"/>
                <w:spacing w:val="-1"/>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trPr>
        <w:tc>
          <w:tcPr>
            <w:tcW w:w="3805" w:type="dxa"/>
            <w:gridSpan w:val="3"/>
            <w:tcBorders>
              <w:right w:val="nil"/>
            </w:tcBorders>
          </w:tcPr>
          <w:p>
            <w:pPr>
              <w:pStyle w:val="7"/>
              <w:spacing w:before="6"/>
              <w:rPr>
                <w:rFonts w:hint="eastAsia" w:ascii="微软雅黑" w:hAnsi="微软雅黑" w:eastAsia="微软雅黑" w:cs="微软雅黑"/>
                <w:sz w:val="20"/>
                <w:szCs w:val="20"/>
              </w:rPr>
            </w:pPr>
          </w:p>
          <w:p>
            <w:pPr>
              <w:pStyle w:val="7"/>
              <w:ind w:left="710"/>
              <w:rPr>
                <w:rFonts w:hint="eastAsia" w:ascii="微软雅黑" w:hAnsi="微软雅黑" w:eastAsia="微软雅黑" w:cs="微软雅黑"/>
                <w:sz w:val="20"/>
                <w:szCs w:val="20"/>
              </w:rPr>
            </w:pPr>
            <w:r>
              <w:rPr>
                <w:rFonts w:hint="eastAsia" w:ascii="微软雅黑" w:hAnsi="微软雅黑" w:eastAsia="微软雅黑" w:cs="微软雅黑"/>
                <w:sz w:val="20"/>
                <w:szCs w:val="20"/>
              </w:rPr>
              <w:t>评估负责人： （签字）</w:t>
            </w:r>
          </w:p>
        </w:tc>
        <w:tc>
          <w:tcPr>
            <w:tcW w:w="3152" w:type="dxa"/>
            <w:tcBorders>
              <w:left w:val="nil"/>
              <w:right w:val="nil"/>
            </w:tcBorders>
          </w:tcPr>
          <w:p>
            <w:pPr>
              <w:pStyle w:val="7"/>
              <w:spacing w:before="6"/>
              <w:jc w:val="distribute"/>
              <w:rPr>
                <w:rFonts w:hint="eastAsia" w:ascii="微软雅黑" w:hAnsi="微软雅黑" w:eastAsia="微软雅黑" w:cs="微软雅黑"/>
                <w:sz w:val="20"/>
                <w:szCs w:val="20"/>
              </w:rPr>
            </w:pPr>
          </w:p>
          <w:p>
            <w:pPr>
              <w:pStyle w:val="7"/>
              <w:ind w:left="1007"/>
              <w:jc w:val="distribute"/>
              <w:rPr>
                <w:rFonts w:hint="eastAsia" w:ascii="微软雅黑" w:hAnsi="微软雅黑" w:eastAsia="微软雅黑" w:cs="微软雅黑"/>
                <w:sz w:val="20"/>
                <w:szCs w:val="20"/>
              </w:rPr>
            </w:pPr>
            <w:r>
              <w:rPr>
                <w:rFonts w:hint="eastAsia" w:ascii="微软雅黑" w:hAnsi="微软雅黑" w:eastAsia="微软雅黑" w:cs="微软雅黑"/>
                <w:sz w:val="20"/>
                <w:szCs w:val="20"/>
              </w:rPr>
              <w:t>评估单位：（盖章）</w:t>
            </w: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spacing w:before="135"/>
              <w:ind w:right="238"/>
              <w:jc w:val="distribute"/>
              <w:rPr>
                <w:rFonts w:hint="eastAsia" w:ascii="微软雅黑" w:hAnsi="微软雅黑" w:eastAsia="微软雅黑" w:cs="微软雅黑"/>
                <w:sz w:val="20"/>
                <w:szCs w:val="20"/>
              </w:rPr>
            </w:pPr>
            <w:r>
              <w:rPr>
                <w:rFonts w:hint="eastAsia" w:ascii="微软雅黑" w:hAnsi="微软雅黑" w:eastAsia="微软雅黑" w:cs="微软雅黑"/>
                <w:w w:val="99"/>
                <w:sz w:val="20"/>
                <w:szCs w:val="20"/>
                <w:lang w:val="en-US" w:eastAsia="zh-CN"/>
              </w:rPr>
              <w:t xml:space="preserve">                                             </w:t>
            </w:r>
          </w:p>
        </w:tc>
        <w:tc>
          <w:tcPr>
            <w:tcW w:w="699" w:type="dxa"/>
            <w:tcBorders>
              <w:left w:val="nil"/>
              <w:right w:val="nil"/>
            </w:tcBorders>
          </w:tcPr>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ind w:left="12"/>
              <w:jc w:val="distribute"/>
              <w:rPr>
                <w:rFonts w:hint="eastAsia" w:ascii="微软雅黑" w:hAnsi="微软雅黑" w:eastAsia="微软雅黑" w:cs="微软雅黑"/>
                <w:sz w:val="20"/>
                <w:szCs w:val="20"/>
              </w:rPr>
            </w:pPr>
          </w:p>
        </w:tc>
        <w:tc>
          <w:tcPr>
            <w:tcW w:w="705" w:type="dxa"/>
            <w:tcBorders>
              <w:left w:val="nil"/>
            </w:tcBorders>
          </w:tcPr>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jc w:val="distribute"/>
              <w:rPr>
                <w:rFonts w:hint="eastAsia" w:ascii="微软雅黑" w:hAnsi="微软雅黑" w:eastAsia="微软雅黑" w:cs="微软雅黑"/>
                <w:sz w:val="20"/>
                <w:szCs w:val="20"/>
              </w:rPr>
            </w:pPr>
          </w:p>
          <w:p>
            <w:pPr>
              <w:pStyle w:val="7"/>
              <w:ind w:left="20"/>
              <w:jc w:val="distribute"/>
              <w:rPr>
                <w:rFonts w:hint="eastAsia" w:ascii="微软雅黑" w:hAnsi="微软雅黑" w:eastAsia="微软雅黑" w:cs="微软雅黑"/>
                <w:sz w:val="20"/>
                <w:szCs w:val="20"/>
              </w:rPr>
            </w:pPr>
          </w:p>
        </w:tc>
      </w:tr>
    </w:tbl>
    <w:p>
      <w:bookmarkStart w:id="0" w:name="_GoBack"/>
      <w:bookmarkEnd w:id="0"/>
    </w:p>
    <w:sectPr>
      <w:pgSz w:w="11910" w:h="16840"/>
      <w:pgMar w:top="1420" w:right="162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86" w:hanging="118"/>
        <w:jc w:val="left"/>
      </w:pPr>
      <w:rPr>
        <w:rFonts w:hint="default" w:ascii="Arial" w:hAnsi="Arial" w:eastAsia="Arial" w:cs="Arial"/>
        <w:w w:val="100"/>
        <w:sz w:val="12"/>
        <w:szCs w:val="12"/>
        <w:lang w:val="zh-CN" w:eastAsia="zh-CN" w:bidi="zh-CN"/>
      </w:rPr>
    </w:lvl>
    <w:lvl w:ilvl="1" w:tentative="0">
      <w:start w:val="0"/>
      <w:numFmt w:val="bullet"/>
      <w:lvlText w:val="•"/>
      <w:lvlJc w:val="left"/>
      <w:pPr>
        <w:ind w:left="842" w:hanging="118"/>
      </w:pPr>
      <w:rPr>
        <w:rFonts w:hint="default"/>
        <w:lang w:val="zh-CN" w:eastAsia="zh-CN" w:bidi="zh-CN"/>
      </w:rPr>
    </w:lvl>
    <w:lvl w:ilvl="2" w:tentative="0">
      <w:start w:val="0"/>
      <w:numFmt w:val="bullet"/>
      <w:lvlText w:val="•"/>
      <w:lvlJc w:val="left"/>
      <w:pPr>
        <w:ind w:left="1504" w:hanging="118"/>
      </w:pPr>
      <w:rPr>
        <w:rFonts w:hint="default"/>
        <w:lang w:val="zh-CN" w:eastAsia="zh-CN" w:bidi="zh-CN"/>
      </w:rPr>
    </w:lvl>
    <w:lvl w:ilvl="3" w:tentative="0">
      <w:start w:val="0"/>
      <w:numFmt w:val="bullet"/>
      <w:lvlText w:val="•"/>
      <w:lvlJc w:val="left"/>
      <w:pPr>
        <w:ind w:left="2166" w:hanging="118"/>
      </w:pPr>
      <w:rPr>
        <w:rFonts w:hint="default"/>
        <w:lang w:val="zh-CN" w:eastAsia="zh-CN" w:bidi="zh-CN"/>
      </w:rPr>
    </w:lvl>
    <w:lvl w:ilvl="4" w:tentative="0">
      <w:start w:val="0"/>
      <w:numFmt w:val="bullet"/>
      <w:lvlText w:val="•"/>
      <w:lvlJc w:val="left"/>
      <w:pPr>
        <w:ind w:left="2828" w:hanging="118"/>
      </w:pPr>
      <w:rPr>
        <w:rFonts w:hint="default"/>
        <w:lang w:val="zh-CN" w:eastAsia="zh-CN" w:bidi="zh-CN"/>
      </w:rPr>
    </w:lvl>
    <w:lvl w:ilvl="5" w:tentative="0">
      <w:start w:val="0"/>
      <w:numFmt w:val="bullet"/>
      <w:lvlText w:val="•"/>
      <w:lvlJc w:val="left"/>
      <w:pPr>
        <w:ind w:left="3491" w:hanging="118"/>
      </w:pPr>
      <w:rPr>
        <w:rFonts w:hint="default"/>
        <w:lang w:val="zh-CN" w:eastAsia="zh-CN" w:bidi="zh-CN"/>
      </w:rPr>
    </w:lvl>
    <w:lvl w:ilvl="6" w:tentative="0">
      <w:start w:val="0"/>
      <w:numFmt w:val="bullet"/>
      <w:lvlText w:val="•"/>
      <w:lvlJc w:val="left"/>
      <w:pPr>
        <w:ind w:left="4153" w:hanging="118"/>
      </w:pPr>
      <w:rPr>
        <w:rFonts w:hint="default"/>
        <w:lang w:val="zh-CN" w:eastAsia="zh-CN" w:bidi="zh-CN"/>
      </w:rPr>
    </w:lvl>
    <w:lvl w:ilvl="7" w:tentative="0">
      <w:start w:val="0"/>
      <w:numFmt w:val="bullet"/>
      <w:lvlText w:val="•"/>
      <w:lvlJc w:val="left"/>
      <w:pPr>
        <w:ind w:left="4815" w:hanging="118"/>
      </w:pPr>
      <w:rPr>
        <w:rFonts w:hint="default"/>
        <w:lang w:val="zh-CN" w:eastAsia="zh-CN" w:bidi="zh-CN"/>
      </w:rPr>
    </w:lvl>
    <w:lvl w:ilvl="8" w:tentative="0">
      <w:start w:val="0"/>
      <w:numFmt w:val="bullet"/>
      <w:lvlText w:val="•"/>
      <w:lvlJc w:val="left"/>
      <w:pPr>
        <w:ind w:left="5477" w:hanging="118"/>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86" w:hanging="118"/>
        <w:jc w:val="left"/>
      </w:pPr>
      <w:rPr>
        <w:rFonts w:hint="default" w:ascii="Arial" w:hAnsi="Arial" w:eastAsia="Arial" w:cs="Arial"/>
        <w:w w:val="100"/>
        <w:sz w:val="12"/>
        <w:szCs w:val="12"/>
        <w:lang w:val="zh-CN" w:eastAsia="zh-CN" w:bidi="zh-CN"/>
      </w:rPr>
    </w:lvl>
    <w:lvl w:ilvl="1" w:tentative="0">
      <w:start w:val="0"/>
      <w:numFmt w:val="bullet"/>
      <w:lvlText w:val="•"/>
      <w:lvlJc w:val="left"/>
      <w:pPr>
        <w:ind w:left="842" w:hanging="118"/>
      </w:pPr>
      <w:rPr>
        <w:rFonts w:hint="default"/>
        <w:lang w:val="zh-CN" w:eastAsia="zh-CN" w:bidi="zh-CN"/>
      </w:rPr>
    </w:lvl>
    <w:lvl w:ilvl="2" w:tentative="0">
      <w:start w:val="0"/>
      <w:numFmt w:val="bullet"/>
      <w:lvlText w:val="•"/>
      <w:lvlJc w:val="left"/>
      <w:pPr>
        <w:ind w:left="1504" w:hanging="118"/>
      </w:pPr>
      <w:rPr>
        <w:rFonts w:hint="default"/>
        <w:lang w:val="zh-CN" w:eastAsia="zh-CN" w:bidi="zh-CN"/>
      </w:rPr>
    </w:lvl>
    <w:lvl w:ilvl="3" w:tentative="0">
      <w:start w:val="0"/>
      <w:numFmt w:val="bullet"/>
      <w:lvlText w:val="•"/>
      <w:lvlJc w:val="left"/>
      <w:pPr>
        <w:ind w:left="2166" w:hanging="118"/>
      </w:pPr>
      <w:rPr>
        <w:rFonts w:hint="default"/>
        <w:lang w:val="zh-CN" w:eastAsia="zh-CN" w:bidi="zh-CN"/>
      </w:rPr>
    </w:lvl>
    <w:lvl w:ilvl="4" w:tentative="0">
      <w:start w:val="0"/>
      <w:numFmt w:val="bullet"/>
      <w:lvlText w:val="•"/>
      <w:lvlJc w:val="left"/>
      <w:pPr>
        <w:ind w:left="2828" w:hanging="118"/>
      </w:pPr>
      <w:rPr>
        <w:rFonts w:hint="default"/>
        <w:lang w:val="zh-CN" w:eastAsia="zh-CN" w:bidi="zh-CN"/>
      </w:rPr>
    </w:lvl>
    <w:lvl w:ilvl="5" w:tentative="0">
      <w:start w:val="0"/>
      <w:numFmt w:val="bullet"/>
      <w:lvlText w:val="•"/>
      <w:lvlJc w:val="left"/>
      <w:pPr>
        <w:ind w:left="3491" w:hanging="118"/>
      </w:pPr>
      <w:rPr>
        <w:rFonts w:hint="default"/>
        <w:lang w:val="zh-CN" w:eastAsia="zh-CN" w:bidi="zh-CN"/>
      </w:rPr>
    </w:lvl>
    <w:lvl w:ilvl="6" w:tentative="0">
      <w:start w:val="0"/>
      <w:numFmt w:val="bullet"/>
      <w:lvlText w:val="•"/>
      <w:lvlJc w:val="left"/>
      <w:pPr>
        <w:ind w:left="4153" w:hanging="118"/>
      </w:pPr>
      <w:rPr>
        <w:rFonts w:hint="default"/>
        <w:lang w:val="zh-CN" w:eastAsia="zh-CN" w:bidi="zh-CN"/>
      </w:rPr>
    </w:lvl>
    <w:lvl w:ilvl="7" w:tentative="0">
      <w:start w:val="0"/>
      <w:numFmt w:val="bullet"/>
      <w:lvlText w:val="•"/>
      <w:lvlJc w:val="left"/>
      <w:pPr>
        <w:ind w:left="4815" w:hanging="118"/>
      </w:pPr>
      <w:rPr>
        <w:rFonts w:hint="default"/>
        <w:lang w:val="zh-CN" w:eastAsia="zh-CN" w:bidi="zh-CN"/>
      </w:rPr>
    </w:lvl>
    <w:lvl w:ilvl="8" w:tentative="0">
      <w:start w:val="0"/>
      <w:numFmt w:val="bullet"/>
      <w:lvlText w:val="•"/>
      <w:lvlJc w:val="left"/>
      <w:pPr>
        <w:ind w:left="5477" w:hanging="118"/>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86" w:hanging="118"/>
        <w:jc w:val="left"/>
      </w:pPr>
      <w:rPr>
        <w:rFonts w:hint="default" w:ascii="Arial" w:hAnsi="Arial" w:eastAsia="Arial" w:cs="Arial"/>
        <w:w w:val="100"/>
        <w:sz w:val="12"/>
        <w:szCs w:val="12"/>
        <w:lang w:val="zh-CN" w:eastAsia="zh-CN" w:bidi="zh-CN"/>
      </w:rPr>
    </w:lvl>
    <w:lvl w:ilvl="1" w:tentative="0">
      <w:start w:val="0"/>
      <w:numFmt w:val="bullet"/>
      <w:lvlText w:val="•"/>
      <w:lvlJc w:val="left"/>
      <w:pPr>
        <w:ind w:left="841" w:hanging="118"/>
      </w:pPr>
      <w:rPr>
        <w:rFonts w:hint="default"/>
        <w:lang w:val="zh-CN" w:eastAsia="zh-CN" w:bidi="zh-CN"/>
      </w:rPr>
    </w:lvl>
    <w:lvl w:ilvl="2" w:tentative="0">
      <w:start w:val="0"/>
      <w:numFmt w:val="bullet"/>
      <w:lvlText w:val="•"/>
      <w:lvlJc w:val="left"/>
      <w:pPr>
        <w:ind w:left="1503" w:hanging="118"/>
      </w:pPr>
      <w:rPr>
        <w:rFonts w:hint="default"/>
        <w:lang w:val="zh-CN" w:eastAsia="zh-CN" w:bidi="zh-CN"/>
      </w:rPr>
    </w:lvl>
    <w:lvl w:ilvl="3" w:tentative="0">
      <w:start w:val="0"/>
      <w:numFmt w:val="bullet"/>
      <w:lvlText w:val="•"/>
      <w:lvlJc w:val="left"/>
      <w:pPr>
        <w:ind w:left="2165" w:hanging="118"/>
      </w:pPr>
      <w:rPr>
        <w:rFonts w:hint="default"/>
        <w:lang w:val="zh-CN" w:eastAsia="zh-CN" w:bidi="zh-CN"/>
      </w:rPr>
    </w:lvl>
    <w:lvl w:ilvl="4" w:tentative="0">
      <w:start w:val="0"/>
      <w:numFmt w:val="bullet"/>
      <w:lvlText w:val="•"/>
      <w:lvlJc w:val="left"/>
      <w:pPr>
        <w:ind w:left="2827" w:hanging="118"/>
      </w:pPr>
      <w:rPr>
        <w:rFonts w:hint="default"/>
        <w:lang w:val="zh-CN" w:eastAsia="zh-CN" w:bidi="zh-CN"/>
      </w:rPr>
    </w:lvl>
    <w:lvl w:ilvl="5" w:tentative="0">
      <w:start w:val="0"/>
      <w:numFmt w:val="bullet"/>
      <w:lvlText w:val="•"/>
      <w:lvlJc w:val="left"/>
      <w:pPr>
        <w:ind w:left="3489" w:hanging="118"/>
      </w:pPr>
      <w:rPr>
        <w:rFonts w:hint="default"/>
        <w:lang w:val="zh-CN" w:eastAsia="zh-CN" w:bidi="zh-CN"/>
      </w:rPr>
    </w:lvl>
    <w:lvl w:ilvl="6" w:tentative="0">
      <w:start w:val="0"/>
      <w:numFmt w:val="bullet"/>
      <w:lvlText w:val="•"/>
      <w:lvlJc w:val="left"/>
      <w:pPr>
        <w:ind w:left="4151" w:hanging="118"/>
      </w:pPr>
      <w:rPr>
        <w:rFonts w:hint="default"/>
        <w:lang w:val="zh-CN" w:eastAsia="zh-CN" w:bidi="zh-CN"/>
      </w:rPr>
    </w:lvl>
    <w:lvl w:ilvl="7" w:tentative="0">
      <w:start w:val="0"/>
      <w:numFmt w:val="bullet"/>
      <w:lvlText w:val="•"/>
      <w:lvlJc w:val="left"/>
      <w:pPr>
        <w:ind w:left="4813" w:hanging="118"/>
      </w:pPr>
      <w:rPr>
        <w:rFonts w:hint="default"/>
        <w:lang w:val="zh-CN" w:eastAsia="zh-CN" w:bidi="zh-CN"/>
      </w:rPr>
    </w:lvl>
    <w:lvl w:ilvl="8" w:tentative="0">
      <w:start w:val="0"/>
      <w:numFmt w:val="bullet"/>
      <w:lvlText w:val="•"/>
      <w:lvlJc w:val="left"/>
      <w:pPr>
        <w:ind w:left="5475" w:hanging="118"/>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55518CB"/>
    <w:rsid w:val="76356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0"/>
    </w:pPr>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2020-12-02T07:40:00Z</dcterms:created>
  <dc:creator>Administrator</dc:creator>
  <cp:lastModifiedBy>金蝉</cp:lastModifiedBy>
  <dcterms:modified xsi:type="dcterms:W3CDTF">2020-12-02T07:53:16Z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LastSaved">
    <vt:filetime>2020-12-02T00:00:00Z</vt:filetime>
  </property>
  <property fmtid="{D5CDD505-2E9C-101B-9397-08002B2CF9AE}" pid="4" name="KSOProductBuildVer">
    <vt:lpwstr>2052-11.1.0.10132</vt:lpwstr>
  </property>
</Properties>
</file>